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79C1" w14:textId="77777777" w:rsidR="000779D4" w:rsidRPr="007C6971" w:rsidRDefault="000779D4" w:rsidP="00077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29A9ACCB" w14:textId="77777777" w:rsidR="000779D4" w:rsidRDefault="000779D4" w:rsidP="00077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6D56ACC1" w14:textId="77777777" w:rsidR="000779D4" w:rsidRDefault="000779D4" w:rsidP="00077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312E4D1E" w14:textId="77777777" w:rsidR="000779D4" w:rsidRDefault="000779D4" w:rsidP="000779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0779D4" w14:paraId="48FB24F4" w14:textId="77777777" w:rsidTr="0074562E">
        <w:tc>
          <w:tcPr>
            <w:tcW w:w="704" w:type="dxa"/>
          </w:tcPr>
          <w:p w14:paraId="58514C0B" w14:textId="77777777" w:rsidR="000779D4" w:rsidRPr="008322E8" w:rsidRDefault="000779D4" w:rsidP="0074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41DF1B29" w14:textId="77777777" w:rsidR="000779D4" w:rsidRPr="008322E8" w:rsidRDefault="000779D4" w:rsidP="0074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2721D394" w14:textId="77777777" w:rsidR="000779D4" w:rsidRPr="008322E8" w:rsidRDefault="000779D4" w:rsidP="00745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57BEACE1" w14:textId="77777777" w:rsidR="000779D4" w:rsidRPr="008322E8" w:rsidRDefault="000779D4" w:rsidP="0074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0779D4" w14:paraId="28476BA8" w14:textId="77777777" w:rsidTr="0074562E">
        <w:tc>
          <w:tcPr>
            <w:tcW w:w="704" w:type="dxa"/>
          </w:tcPr>
          <w:p w14:paraId="65C59016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673587F6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0BADDEC2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0779D4" w14:paraId="3BF3D29B" w14:textId="77777777" w:rsidTr="0074562E">
        <w:trPr>
          <w:trHeight w:val="461"/>
        </w:trPr>
        <w:tc>
          <w:tcPr>
            <w:tcW w:w="704" w:type="dxa"/>
            <w:vMerge w:val="restart"/>
          </w:tcPr>
          <w:p w14:paraId="56F9C1D4" w14:textId="77777777" w:rsidR="000779D4" w:rsidRPr="00223A1F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468DCBE4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48D3B68E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7D0F3F6C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</w:p>
          <w:p w14:paraId="4D010A45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</w:p>
        </w:tc>
      </w:tr>
      <w:tr w:rsidR="000779D4" w14:paraId="28342049" w14:textId="77777777" w:rsidTr="0074562E">
        <w:trPr>
          <w:trHeight w:val="1093"/>
        </w:trPr>
        <w:tc>
          <w:tcPr>
            <w:tcW w:w="704" w:type="dxa"/>
            <w:vMerge/>
          </w:tcPr>
          <w:p w14:paraId="13E36079" w14:textId="77777777" w:rsidR="000779D4" w:rsidRPr="00223A1F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F8C578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26BC5952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22BB78A1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0D0F8A2A" w14:textId="56974743" w:rsidR="000779D4" w:rsidRPr="000779D4" w:rsidRDefault="000779D4" w:rsidP="0074562E">
            <w:pPr>
              <w:jc w:val="both"/>
            </w:pPr>
            <w:r w:rsidRPr="000779D4">
              <w:rPr>
                <w:rFonts w:ascii="Times New Roman" w:hAnsi="Times New Roman" w:cs="Times New Roman"/>
              </w:rPr>
              <w:t xml:space="preserve">Nekustamā īpašuma </w:t>
            </w:r>
            <w:r w:rsidRPr="000779D4">
              <w:rPr>
                <w:rFonts w:ascii="Times New Roman" w:eastAsia="Calibri" w:hAnsi="Times New Roman" w:cs="Times New Roman"/>
              </w:rPr>
              <w:t xml:space="preserve">(būves kadastra apzīmējums 0100 089 0244 001) 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 xml:space="preserve">Rīgā, Struktoru ielā 14a, 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 xml:space="preserve">nedzīvojamā telpa 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>Nr.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>006-22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 xml:space="preserve"> 3.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79D4">
              <w:rPr>
                <w:rFonts w:ascii="Times New Roman" w:eastAsia="Calibri" w:hAnsi="Times New Roman" w:cs="Times New Roman"/>
                <w:b/>
                <w:bCs/>
              </w:rPr>
              <w:t>stāvā ar platību 19,3 m2</w:t>
            </w:r>
            <w:r>
              <w:rPr>
                <w:rFonts w:ascii="Times New Roman" w:eastAsia="Calibri" w:hAnsi="Times New Roman" w:cs="Times New Roman"/>
              </w:rPr>
              <w:t xml:space="preserve"> (deviņpadsmit komats trīs kvadrātmetri).</w:t>
            </w:r>
          </w:p>
        </w:tc>
      </w:tr>
      <w:tr w:rsidR="000779D4" w14:paraId="59CC7FD6" w14:textId="77777777" w:rsidTr="0074562E">
        <w:trPr>
          <w:trHeight w:val="223"/>
        </w:trPr>
        <w:tc>
          <w:tcPr>
            <w:tcW w:w="704" w:type="dxa"/>
            <w:vMerge/>
          </w:tcPr>
          <w:p w14:paraId="72C75EBE" w14:textId="77777777" w:rsidR="000779D4" w:rsidRPr="00223A1F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8A9123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0FEEDE22" w14:textId="5086BC18" w:rsidR="000779D4" w:rsidRPr="00223A1F" w:rsidRDefault="00AF3028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 Skolas, universitātes un zinātniskās pētniecības ēkas</w:t>
            </w:r>
          </w:p>
        </w:tc>
      </w:tr>
      <w:tr w:rsidR="000779D4" w14:paraId="0E06DAC8" w14:textId="77777777" w:rsidTr="0074562E">
        <w:trPr>
          <w:trHeight w:val="569"/>
        </w:trPr>
        <w:tc>
          <w:tcPr>
            <w:tcW w:w="704" w:type="dxa"/>
            <w:vMerge/>
          </w:tcPr>
          <w:p w14:paraId="15512B82" w14:textId="77777777" w:rsidR="000779D4" w:rsidRPr="00223A1F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FEC9E1" w14:textId="77777777" w:rsidR="000779D4" w:rsidRPr="00223A1F" w:rsidRDefault="000779D4" w:rsidP="0074562E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7A93AAA8" w14:textId="77777777" w:rsidR="000779D4" w:rsidRPr="00223A1F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0779D4" w14:paraId="78D266CC" w14:textId="77777777" w:rsidTr="0074562E">
        <w:trPr>
          <w:trHeight w:val="1176"/>
        </w:trPr>
        <w:tc>
          <w:tcPr>
            <w:tcW w:w="704" w:type="dxa"/>
          </w:tcPr>
          <w:p w14:paraId="3803E5ED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08988294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5DD61432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78D1B759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73D4D5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</w:p>
          <w:p w14:paraId="16B8C0D4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48CA4980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3728E17" w14:textId="15D486B4" w:rsidR="000779D4" w:rsidRPr="00B77672" w:rsidRDefault="000779D4" w:rsidP="0074562E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 w:rsidR="00AF3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672">
              <w:rPr>
                <w:rFonts w:ascii="Times New Roman" w:hAnsi="Times New Roman" w:cs="Times New Roman"/>
                <w:b/>
                <w:bCs/>
              </w:rPr>
              <w:t>Nr. </w:t>
            </w:r>
            <w:r w:rsidR="00AF3028">
              <w:rPr>
                <w:rFonts w:ascii="Times New Roman" w:hAnsi="Times New Roman" w:cs="Times New Roman"/>
                <w:b/>
                <w:bCs/>
              </w:rPr>
              <w:t>006-22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="00AF3028">
              <w:rPr>
                <w:rFonts w:ascii="Times New Roman" w:hAnsi="Times New Roman" w:cs="Times New Roman"/>
                <w:b/>
                <w:bCs/>
                <w:u w:val="single"/>
              </w:rPr>
              <w:t>6,83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AF3028">
              <w:rPr>
                <w:rFonts w:ascii="Times New Roman" w:hAnsi="Times New Roman" w:cs="Times New Roman"/>
                <w:i/>
                <w:iCs/>
                <w:u w:val="single"/>
              </w:rPr>
              <w:t>seši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 w:rsidR="00AF3028">
              <w:rPr>
                <w:rFonts w:ascii="Times New Roman" w:hAnsi="Times New Roman" w:cs="Times New Roman"/>
                <w:i/>
                <w:iCs/>
                <w:u w:val="single"/>
              </w:rPr>
              <w:t>83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 xml:space="preserve">diem </w:t>
            </w:r>
            <w:r w:rsidR="00AF3028">
              <w:rPr>
                <w:rFonts w:ascii="Times New Roman" w:hAnsi="Times New Roman"/>
                <w:lang w:eastAsia="lv-LV"/>
              </w:rPr>
              <w:t xml:space="preserve">pamata un papildus </w:t>
            </w:r>
            <w:r w:rsidRPr="00B77672">
              <w:rPr>
                <w:rFonts w:ascii="Times New Roman" w:hAnsi="Times New Roman"/>
                <w:lang w:eastAsia="lv-LV"/>
              </w:rPr>
              <w:t>pakalpojumiem:</w:t>
            </w:r>
          </w:p>
          <w:p w14:paraId="2CC1D2FC" w14:textId="5F4925C8" w:rsidR="000779D4" w:rsidRPr="00AC3297" w:rsidRDefault="000779D4" w:rsidP="0074562E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 w:rsidR="00AF3028">
              <w:rPr>
                <w:rFonts w:ascii="Times New Roman" w:hAnsi="Times New Roman" w:cs="Times New Roman"/>
                <w:i/>
                <w:iCs/>
              </w:rPr>
              <w:t>6,53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1093FADA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inženiertehnisko komunikāciju (ūdensvada un kanalizācijas; elektroapgādes;   siltumapgādes) apkopi un remontu (atbildības robežās);</w:t>
            </w:r>
          </w:p>
          <w:p w14:paraId="180B27AF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plānotiem remontdarbiem un būvdarbiem, kas nepieciešami nekustamā īpašuma uzturēšanai;</w:t>
            </w:r>
          </w:p>
          <w:p w14:paraId="7EFE17AC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uzkopšanu;</w:t>
            </w:r>
          </w:p>
          <w:p w14:paraId="74DF1D0A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 koplietošanas telpu un sanitāro mezglu uzkopšanu;</w:t>
            </w:r>
          </w:p>
          <w:p w14:paraId="2E69F6B4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nodrošināšanu;</w:t>
            </w:r>
          </w:p>
          <w:p w14:paraId="322A2AC9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apkopi un uzturēšanu;</w:t>
            </w:r>
          </w:p>
          <w:p w14:paraId="16B8413B" w14:textId="77777777" w:rsidR="00AF3028" w:rsidRPr="00AF3028" w:rsidRDefault="00AF3028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  <w:lang w:eastAsia="lv-LV"/>
              </w:rPr>
              <w:t>-    ēkas pārvaldīšanu.</w:t>
            </w:r>
          </w:p>
          <w:p w14:paraId="58601D6A" w14:textId="4C1A7229" w:rsidR="000779D4" w:rsidRPr="00286C44" w:rsidRDefault="000779D4" w:rsidP="0074562E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 xml:space="preserve">Papildus </w:t>
            </w:r>
            <w:r w:rsidR="00AF3028">
              <w:rPr>
                <w:rFonts w:ascii="Times New Roman" w:hAnsi="Times New Roman"/>
              </w:rPr>
              <w:t>maksājumā</w:t>
            </w:r>
            <w:r>
              <w:rPr>
                <w:rFonts w:ascii="Times New Roman" w:hAnsi="Times New Roman"/>
              </w:rPr>
              <w:t xml:space="preserve">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 w:rsidR="00AF3028">
              <w:rPr>
                <w:rFonts w:ascii="Times New Roman" w:hAnsi="Times New Roman"/>
                <w:i/>
                <w:iCs/>
              </w:rPr>
              <w:t>30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7A554F9C" w14:textId="77777777" w:rsidR="000779D4" w:rsidRPr="001B46B5" w:rsidRDefault="000779D4" w:rsidP="0074562E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35DC074A" w14:textId="77DFC173" w:rsidR="000779D4" w:rsidRPr="001B46B5" w:rsidRDefault="000779D4" w:rsidP="0074562E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</w:t>
            </w:r>
            <w:r w:rsidR="00AF3028">
              <w:rPr>
                <w:rFonts w:ascii="Times New Roman" w:eastAsia="Calibri" w:hAnsi="Times New Roman" w:cs="Times New Roman"/>
                <w:lang w:eastAsia="lv-LV"/>
              </w:rPr>
              <w:t xml:space="preserve"> un zemei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7D62686F" w14:textId="77777777" w:rsidR="00AF3028" w:rsidRDefault="000779D4" w:rsidP="00AF3028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7039E9FC" w14:textId="3A3DE84F" w:rsidR="000779D4" w:rsidRPr="008245EF" w:rsidRDefault="00AF3028" w:rsidP="00AF3028">
            <w:pPr>
              <w:ind w:firstLine="600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F3028">
              <w:rPr>
                <w:rFonts w:ascii="Times New Roman" w:eastAsia="Calibri" w:hAnsi="Times New Roman" w:cs="Times New Roman"/>
              </w:rPr>
              <w:t xml:space="preserve">Papildus noteiktajam mēneša </w:t>
            </w:r>
            <w:r>
              <w:rPr>
                <w:rFonts w:ascii="Times New Roman" w:eastAsia="Calibri" w:hAnsi="Times New Roman" w:cs="Times New Roman"/>
              </w:rPr>
              <w:t xml:space="preserve">nomas maksas </w:t>
            </w:r>
            <w:r w:rsidRPr="00AF3028">
              <w:rPr>
                <w:rFonts w:ascii="Times New Roman" w:eastAsia="Calibri" w:hAnsi="Times New Roman" w:cs="Times New Roman"/>
              </w:rPr>
              <w:t>maksājumam Nomniekam jāveic maksājumi par nekustamā īpašuma uzturēšanai nepieciešamiem pakalpojumiem: biroja telpām – par siltumenerģiju, ūdensapgādes un kanalizācijas (tajā skaitā lietus notekūdeņu – ja attiecās) pakalpojumu nodrošināšanu, atkritumu izvešanu, un elektroenerģiju faktisko izmaksu apmērā proporcionāli aizņemtajai telpu platībai, saskaņā ar Iznomātāja izrakstītajiem rēķiniem.</w:t>
            </w:r>
          </w:p>
        </w:tc>
      </w:tr>
      <w:tr w:rsidR="000779D4" w14:paraId="5F1E4AC2" w14:textId="77777777" w:rsidTr="0074562E">
        <w:tc>
          <w:tcPr>
            <w:tcW w:w="704" w:type="dxa"/>
          </w:tcPr>
          <w:p w14:paraId="3ABEA2DC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3E7AAA6A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02E86BD8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297DEDF3" w14:textId="77777777" w:rsidR="000779D4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0779D4" w14:paraId="1EEB7730" w14:textId="77777777" w:rsidTr="0074562E">
        <w:trPr>
          <w:trHeight w:val="408"/>
        </w:trPr>
        <w:tc>
          <w:tcPr>
            <w:tcW w:w="704" w:type="dxa"/>
            <w:vMerge w:val="restart"/>
          </w:tcPr>
          <w:p w14:paraId="2826F043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78DBF083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28A6B7F2" w14:textId="77777777" w:rsidR="000779D4" w:rsidRPr="00F94C75" w:rsidRDefault="000779D4" w:rsidP="0074562E">
            <w:pPr>
              <w:jc w:val="both"/>
              <w:rPr>
                <w:rFonts w:ascii="Times New Roman" w:hAnsi="Times New Roman"/>
              </w:rPr>
            </w:pPr>
          </w:p>
        </w:tc>
      </w:tr>
      <w:tr w:rsidR="000779D4" w14:paraId="0578A6B1" w14:textId="77777777" w:rsidTr="0074562E">
        <w:trPr>
          <w:trHeight w:val="1394"/>
        </w:trPr>
        <w:tc>
          <w:tcPr>
            <w:tcW w:w="704" w:type="dxa"/>
            <w:vMerge/>
          </w:tcPr>
          <w:p w14:paraId="4A482FB9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5BAA64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2DA4A488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048C5F5" w14:textId="77777777" w:rsidR="000779D4" w:rsidRDefault="000779D4" w:rsidP="0074562E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2DF0599" w14:textId="77777777" w:rsidR="000779D4" w:rsidRDefault="000779D4" w:rsidP="0074562E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60E67DE5" w14:textId="77777777" w:rsidR="000779D4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779D4" w14:paraId="0D53194D" w14:textId="77777777" w:rsidTr="0074562E">
        <w:trPr>
          <w:trHeight w:val="210"/>
        </w:trPr>
        <w:tc>
          <w:tcPr>
            <w:tcW w:w="704" w:type="dxa"/>
            <w:vMerge/>
          </w:tcPr>
          <w:p w14:paraId="009F8861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3FADEF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3D00623F" w14:textId="73D6766C" w:rsidR="000779D4" w:rsidRDefault="00AF3028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veikšanai.</w:t>
            </w:r>
          </w:p>
          <w:p w14:paraId="52C5E79B" w14:textId="77777777" w:rsidR="000779D4" w:rsidRPr="007D4C83" w:rsidRDefault="000779D4" w:rsidP="0074562E">
            <w:pPr>
              <w:rPr>
                <w:rFonts w:ascii="Times New Roman" w:hAnsi="Times New Roman"/>
              </w:rPr>
            </w:pPr>
          </w:p>
        </w:tc>
      </w:tr>
      <w:tr w:rsidR="000779D4" w14:paraId="76C4827F" w14:textId="77777777" w:rsidTr="0074562E">
        <w:trPr>
          <w:trHeight w:val="1097"/>
        </w:trPr>
        <w:tc>
          <w:tcPr>
            <w:tcW w:w="704" w:type="dxa"/>
            <w:vMerge/>
          </w:tcPr>
          <w:p w14:paraId="47FE5957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B64B8E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037D3E1D" w14:textId="77777777" w:rsidR="000779D4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0779D4" w14:paraId="49A9DC87" w14:textId="77777777" w:rsidTr="0074562E">
        <w:trPr>
          <w:trHeight w:val="1117"/>
        </w:trPr>
        <w:tc>
          <w:tcPr>
            <w:tcW w:w="704" w:type="dxa"/>
            <w:vMerge w:val="restart"/>
          </w:tcPr>
          <w:p w14:paraId="6BCF4988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0A44C8F1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0BDD73A3" w14:textId="77777777" w:rsidR="000779D4" w:rsidRDefault="000779D4" w:rsidP="0074562E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9D4" w14:paraId="1D967ED0" w14:textId="77777777" w:rsidTr="0074562E">
        <w:trPr>
          <w:trHeight w:val="288"/>
        </w:trPr>
        <w:tc>
          <w:tcPr>
            <w:tcW w:w="704" w:type="dxa"/>
            <w:vMerge/>
          </w:tcPr>
          <w:p w14:paraId="147DF63F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5C8223" w14:textId="77777777" w:rsidR="000779D4" w:rsidRPr="006B33D0" w:rsidRDefault="000779D4" w:rsidP="0074562E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5AF95BD8" w14:textId="77777777" w:rsidR="000779D4" w:rsidRPr="006B33D0" w:rsidRDefault="000779D4" w:rsidP="00745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B455339" w14:textId="336456F4" w:rsidR="000779D4" w:rsidRPr="001B07D9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 w:rsidR="00AF3028">
              <w:rPr>
                <w:rFonts w:ascii="Times New Roman" w:hAnsi="Times New Roman" w:cs="Times New Roman"/>
              </w:rPr>
              <w:t>2</w:t>
            </w:r>
            <w:r w:rsidRPr="001B07D9">
              <w:rPr>
                <w:rFonts w:ascii="Times New Roman" w:hAnsi="Times New Roman" w:cs="Times New Roman"/>
              </w:rPr>
              <w:t xml:space="preserve"> (</w:t>
            </w:r>
            <w:r w:rsidR="00AF3028">
              <w:rPr>
                <w:rFonts w:ascii="Times New Roman" w:hAnsi="Times New Roman" w:cs="Times New Roman"/>
              </w:rPr>
              <w:t>divu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 w:rsidR="00AF3028">
              <w:rPr>
                <w:rFonts w:ascii="Times New Roman" w:hAnsi="Times New Roman" w:cs="Times New Roman"/>
              </w:rPr>
              <w:t>u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0779D4" w14:paraId="4B128B44" w14:textId="77777777" w:rsidTr="0074562E">
        <w:trPr>
          <w:trHeight w:val="1097"/>
        </w:trPr>
        <w:tc>
          <w:tcPr>
            <w:tcW w:w="704" w:type="dxa"/>
            <w:vMerge/>
          </w:tcPr>
          <w:p w14:paraId="318BA185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C02862" w14:textId="77777777" w:rsidR="000779D4" w:rsidRPr="006B33D0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6ADA12DD" w14:textId="77777777" w:rsidR="000779D4" w:rsidRPr="00AB04C8" w:rsidRDefault="000779D4" w:rsidP="0074562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0779D4" w14:paraId="15459320" w14:textId="77777777" w:rsidTr="0074562E">
        <w:trPr>
          <w:trHeight w:val="3886"/>
        </w:trPr>
        <w:tc>
          <w:tcPr>
            <w:tcW w:w="704" w:type="dxa"/>
            <w:vMerge/>
          </w:tcPr>
          <w:p w14:paraId="21758799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DFAE88" w14:textId="77777777" w:rsidR="000779D4" w:rsidRPr="006B33D0" w:rsidRDefault="000779D4" w:rsidP="0074562E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043768DB" w14:textId="77777777" w:rsidR="000779D4" w:rsidRDefault="000779D4" w:rsidP="0074562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5CBE5E0B" w14:textId="77777777" w:rsidR="000779D4" w:rsidRDefault="000779D4" w:rsidP="0074562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0E2AA696" w14:textId="77777777" w:rsidR="000779D4" w:rsidRPr="00871CD5" w:rsidRDefault="000779D4" w:rsidP="007456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0779D4" w14:paraId="2E134130" w14:textId="77777777" w:rsidTr="0074562E">
        <w:tc>
          <w:tcPr>
            <w:tcW w:w="704" w:type="dxa"/>
          </w:tcPr>
          <w:p w14:paraId="2929E2CE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46EECACF" w14:textId="77777777" w:rsidR="000779D4" w:rsidRPr="008322E8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51E73619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0779D4" w14:paraId="78B05AEB" w14:textId="77777777" w:rsidTr="0074562E">
        <w:tc>
          <w:tcPr>
            <w:tcW w:w="704" w:type="dxa"/>
          </w:tcPr>
          <w:p w14:paraId="33B89BB1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4C399331" w14:textId="77777777" w:rsidR="000779D4" w:rsidRPr="008322E8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57D099FD" w14:textId="49F99F5C" w:rsidR="000779D4" w:rsidRPr="005C47AD" w:rsidRDefault="000779D4" w:rsidP="0074562E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3F4170">
              <w:rPr>
                <w:rFonts w:ascii="Times New Roman" w:hAnsi="Times New Roman" w:cs="Times New Roman"/>
              </w:rPr>
              <w:t>3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3F4170">
              <w:rPr>
                <w:rFonts w:ascii="Times New Roman" w:hAnsi="Times New Roman" w:cs="Times New Roman"/>
              </w:rPr>
              <w:t>jūnijs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 w:rsidR="003F4170">
              <w:rPr>
                <w:rFonts w:ascii="Times New Roman" w:hAnsi="Times New Roman" w:cs="Times New Roman"/>
              </w:rPr>
              <w:t>09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0779D4" w14:paraId="69D5081A" w14:textId="77777777" w:rsidTr="0074562E">
        <w:trPr>
          <w:trHeight w:val="2909"/>
        </w:trPr>
        <w:tc>
          <w:tcPr>
            <w:tcW w:w="704" w:type="dxa"/>
          </w:tcPr>
          <w:p w14:paraId="209CEBAC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3F09FA87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7CDCED19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4280D30A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32D0351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50E52EB7" w14:textId="77777777" w:rsidR="000779D4" w:rsidRPr="008322E8" w:rsidRDefault="000779D4" w:rsidP="00745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3DF8BA" w14:textId="77777777" w:rsidR="000779D4" w:rsidRDefault="000779D4" w:rsidP="0074562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7B7BADAA" w14:textId="77777777" w:rsidR="000779D4" w:rsidRDefault="000779D4" w:rsidP="0074562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2C25882" w14:textId="77777777" w:rsidR="000779D4" w:rsidRPr="00036370" w:rsidRDefault="000779D4" w:rsidP="007456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04CA467A" w14:textId="77777777" w:rsidR="000779D4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5EFE623A" w14:textId="56CB1D93" w:rsidR="000779D4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3F4170">
              <w:rPr>
                <w:rFonts w:ascii="Times New Roman" w:hAnsi="Times New Roman" w:cs="Times New Roman"/>
              </w:rPr>
              <w:t>3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3F4170">
              <w:rPr>
                <w:rFonts w:ascii="Times New Roman" w:hAnsi="Times New Roman" w:cs="Times New Roman"/>
              </w:rPr>
              <w:t>jūnijam</w:t>
            </w:r>
            <w:r w:rsidRPr="005C47AD">
              <w:rPr>
                <w:rFonts w:ascii="Times New Roman" w:hAnsi="Times New Roman" w:cs="Times New Roman"/>
              </w:rPr>
              <w:t xml:space="preserve"> plkst. 0</w:t>
            </w:r>
            <w:r w:rsidR="003F4170">
              <w:rPr>
                <w:rFonts w:ascii="Times New Roman" w:hAnsi="Times New Roman" w:cs="Times New Roman"/>
              </w:rPr>
              <w:t>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  <w:p w14:paraId="600B35D7" w14:textId="77777777" w:rsidR="000779D4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291D7317" w14:textId="11D5D617" w:rsidR="000779D4" w:rsidRPr="003A0258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 w:rsidR="003F417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 </w:t>
            </w:r>
            <w:r w:rsidR="003F4170">
              <w:rPr>
                <w:rFonts w:ascii="Times New Roman" w:eastAsia="Times New Roman" w:hAnsi="Times New Roman" w:cs="Times New Roman"/>
                <w:lang w:eastAsia="ar-SA"/>
              </w:rPr>
              <w:t>jūnijā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plkst. </w:t>
            </w:r>
            <w:r w:rsidR="003F4170" w:rsidRPr="005C47AD">
              <w:rPr>
                <w:rFonts w:ascii="Times New Roman" w:hAnsi="Times New Roman" w:cs="Times New Roman"/>
              </w:rPr>
              <w:t>0</w:t>
            </w:r>
            <w:r w:rsidR="003F4170">
              <w:rPr>
                <w:rFonts w:ascii="Times New Roman" w:hAnsi="Times New Roman" w:cs="Times New Roman"/>
              </w:rPr>
              <w:t>9</w:t>
            </w:r>
            <w:r w:rsidR="003F4170" w:rsidRPr="005C47AD">
              <w:rPr>
                <w:rFonts w:ascii="Times New Roman" w:hAnsi="Times New Roman" w:cs="Times New Roman"/>
              </w:rPr>
              <w:t>:00</w:t>
            </w:r>
            <w:r w:rsidR="003F4170">
              <w:rPr>
                <w:rFonts w:ascii="Times New Roman" w:hAnsi="Times New Roman" w:cs="Times New Roman"/>
              </w:rPr>
              <w:t xml:space="preserve">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0779D4" w14:paraId="7E222DCD" w14:textId="77777777" w:rsidTr="0074562E">
        <w:trPr>
          <w:trHeight w:val="267"/>
        </w:trPr>
        <w:tc>
          <w:tcPr>
            <w:tcW w:w="704" w:type="dxa"/>
          </w:tcPr>
          <w:p w14:paraId="2CA4C9FA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48E55150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206D4D92" w14:textId="77777777" w:rsidR="000779D4" w:rsidRPr="005F33EF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1C4595E9" w14:textId="77777777" w:rsidR="000779D4" w:rsidRPr="005F33EF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3494C424" w14:textId="77777777" w:rsidR="000779D4" w:rsidRPr="005F33EF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4A357145" w14:textId="77777777" w:rsidR="000779D4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7F4735E2" w14:textId="77777777" w:rsidR="000779D4" w:rsidRPr="005F33EF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69EB2CCA" w14:textId="77777777" w:rsidR="000779D4" w:rsidRPr="0057171E" w:rsidRDefault="000779D4" w:rsidP="0074562E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0779D4" w14:paraId="771DFCE9" w14:textId="77777777" w:rsidTr="0074562E">
        <w:tc>
          <w:tcPr>
            <w:tcW w:w="704" w:type="dxa"/>
          </w:tcPr>
          <w:p w14:paraId="00440B4F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14:paraId="4D7296A9" w14:textId="77777777" w:rsidR="000779D4" w:rsidRPr="008322E8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400ABDBE" w14:textId="77777777" w:rsidR="000779D4" w:rsidRPr="008322E8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0779D4" w14:paraId="4E7A7E88" w14:textId="77777777" w:rsidTr="0074562E">
        <w:tc>
          <w:tcPr>
            <w:tcW w:w="704" w:type="dxa"/>
          </w:tcPr>
          <w:p w14:paraId="547C5D25" w14:textId="77777777" w:rsidR="000779D4" w:rsidRDefault="000779D4" w:rsidP="0074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420E40DD" w14:textId="77777777" w:rsidR="000779D4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7DB31C2" w14:textId="77777777" w:rsidR="000779D4" w:rsidRPr="008322E8" w:rsidRDefault="000779D4" w:rsidP="0074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6F10A049" w14:textId="02F9D79C" w:rsidR="000779D4" w:rsidRPr="00B77672" w:rsidRDefault="003F4170" w:rsidP="00745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Rīgā, Struktoru ielā 14a</w:t>
            </w:r>
            <w:r w:rsidR="000779D4"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6BE2154A" w14:textId="77777777" w:rsidR="000779D4" w:rsidRPr="00B77672" w:rsidRDefault="000779D4" w:rsidP="0074562E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5B57B2FD" w14:textId="77777777" w:rsidR="000779D4" w:rsidRPr="008322E8" w:rsidRDefault="000779D4" w:rsidP="0074562E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4C551374" w14:textId="77777777" w:rsidR="000779D4" w:rsidRPr="008322E8" w:rsidRDefault="000779D4" w:rsidP="000779D4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76D82021" w14:textId="77777777" w:rsidR="000779D4" w:rsidRDefault="000779D4" w:rsidP="000779D4"/>
    <w:p w14:paraId="5C558DC5" w14:textId="77777777" w:rsidR="000779D4" w:rsidRDefault="000779D4" w:rsidP="000779D4"/>
    <w:p w14:paraId="6480B0D0" w14:textId="77777777" w:rsidR="007B256A" w:rsidRDefault="007B256A"/>
    <w:sectPr w:rsidR="007B256A" w:rsidSect="000779D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079C6"/>
    <w:multiLevelType w:val="hybridMultilevel"/>
    <w:tmpl w:val="CBB0B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3733">
    <w:abstractNumId w:val="1"/>
  </w:num>
  <w:num w:numId="2" w16cid:durableId="770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4"/>
    <w:rsid w:val="000779D4"/>
    <w:rsid w:val="003F4170"/>
    <w:rsid w:val="007B256A"/>
    <w:rsid w:val="00AF3028"/>
    <w:rsid w:val="00D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1A50B"/>
  <w15:chartTrackingRefBased/>
  <w15:docId w15:val="{5785AAD0-3E7C-4D12-9669-8E196FE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D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9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4809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2024-05-23T12:49:00Z</dcterms:created>
  <dcterms:modified xsi:type="dcterms:W3CDTF">2024-05-23T13:01:00Z</dcterms:modified>
</cp:coreProperties>
</file>